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530" w:rsidRPr="00530530" w:rsidRDefault="00530530" w:rsidP="00530530">
      <w:pPr>
        <w:jc w:val="center"/>
        <w:rPr>
          <w:szCs w:val="22"/>
          <w:u w:val="single"/>
        </w:rPr>
      </w:pPr>
      <w:r>
        <w:rPr>
          <w:szCs w:val="22"/>
          <w:u w:val="single"/>
        </w:rPr>
        <w:t>Požadavky na předložení rozpočtu</w:t>
      </w:r>
    </w:p>
    <w:p w:rsidR="00530530" w:rsidRDefault="00F3512D" w:rsidP="00530530">
      <w:pPr>
        <w:pStyle w:val="Nadpis3"/>
        <w:numPr>
          <w:ilvl w:val="0"/>
          <w:numId w:val="0"/>
        </w:numPr>
        <w:rPr>
          <w:szCs w:val="22"/>
        </w:rPr>
      </w:pPr>
      <w:r>
        <w:rPr>
          <w:szCs w:val="22"/>
        </w:rPr>
        <w:t>Zadavatel v čl. 16 odst. 2 zadávací dokumentace stanovil povinnost předložit zjednod</w:t>
      </w:r>
      <w:r w:rsidR="002961D4">
        <w:rPr>
          <w:szCs w:val="22"/>
        </w:rPr>
        <w:t xml:space="preserve">ušený položkový rozpočet stavby, k čemuž zadavatel </w:t>
      </w:r>
      <w:r>
        <w:rPr>
          <w:szCs w:val="22"/>
        </w:rPr>
        <w:t>poskytuje zjednodušený rozpočet</w:t>
      </w:r>
      <w:r w:rsidR="00530530">
        <w:rPr>
          <w:szCs w:val="22"/>
        </w:rPr>
        <w:t xml:space="preserve"> </w:t>
      </w:r>
      <w:r>
        <w:rPr>
          <w:szCs w:val="22"/>
        </w:rPr>
        <w:t>prací, jenž tvoří součást přílohy č. 2 zadávací dokumentace</w:t>
      </w:r>
      <w:r w:rsidR="00B11032">
        <w:rPr>
          <w:szCs w:val="22"/>
        </w:rPr>
        <w:t>, a to konkrétně soubor s názvem</w:t>
      </w:r>
      <w:bookmarkStart w:id="0" w:name="_GoBack"/>
      <w:bookmarkEnd w:id="0"/>
      <w:r w:rsidR="002961D4">
        <w:rPr>
          <w:szCs w:val="22"/>
        </w:rPr>
        <w:t xml:space="preserve"> „Zjednodušený rozpočet prací“</w:t>
      </w:r>
      <w:r>
        <w:rPr>
          <w:szCs w:val="22"/>
        </w:rPr>
        <w:t>.</w:t>
      </w:r>
    </w:p>
    <w:p w:rsidR="00530530" w:rsidRDefault="00F3512D" w:rsidP="00F3512D">
      <w:pPr>
        <w:pStyle w:val="Nadpis3"/>
        <w:numPr>
          <w:ilvl w:val="0"/>
          <w:numId w:val="0"/>
        </w:numPr>
        <w:spacing w:after="240"/>
        <w:rPr>
          <w:szCs w:val="22"/>
        </w:rPr>
      </w:pPr>
      <w:r w:rsidRPr="002961D4">
        <w:rPr>
          <w:b/>
          <w:szCs w:val="22"/>
        </w:rPr>
        <w:t>Dodavatel je povinen předložit z</w:t>
      </w:r>
      <w:r w:rsidR="00530530" w:rsidRPr="002961D4">
        <w:rPr>
          <w:b/>
          <w:szCs w:val="22"/>
        </w:rPr>
        <w:t>jednodušený položkový rozp</w:t>
      </w:r>
      <w:r w:rsidRPr="002961D4">
        <w:rPr>
          <w:b/>
          <w:szCs w:val="22"/>
        </w:rPr>
        <w:t>očet stavebních prací</w:t>
      </w:r>
      <w:r>
        <w:rPr>
          <w:szCs w:val="22"/>
        </w:rPr>
        <w:t xml:space="preserve">, který je </w:t>
      </w:r>
      <w:r w:rsidR="00530530" w:rsidRPr="00530530">
        <w:rPr>
          <w:szCs w:val="22"/>
        </w:rPr>
        <w:t>zpracován za pomoci agregovaných položek, kompletů, odvozených ceníkových cen, dříve realizovaných zakázek atd. Rozpočet není zpracován v takovém detailu jako klasický položkový rozpočet</w:t>
      </w:r>
      <w:r w:rsidR="002961D4">
        <w:rPr>
          <w:szCs w:val="22"/>
        </w:rPr>
        <w:t xml:space="preserve">. </w:t>
      </w:r>
      <w:r w:rsidR="00530530" w:rsidRPr="00530530">
        <w:rPr>
          <w:szCs w:val="22"/>
        </w:rPr>
        <w:t>Dává přehled o nákladech potřebných pro realizaci stavebních prací a doklad</w:t>
      </w:r>
      <w:r>
        <w:rPr>
          <w:szCs w:val="22"/>
        </w:rPr>
        <w:t>uje, že ceny odpovídají cenám v </w:t>
      </w:r>
      <w:r w:rsidR="00530530" w:rsidRPr="00530530">
        <w:rPr>
          <w:szCs w:val="22"/>
        </w:rPr>
        <w:t xml:space="preserve">místě a čase obvyklým. </w:t>
      </w:r>
    </w:p>
    <w:p w:rsidR="002961D4" w:rsidRDefault="002961D4" w:rsidP="002961D4">
      <w:r>
        <w:t xml:space="preserve">Dodavatel je povinen do své nabídky předložit vyplněný zjednodušený rozpočet prací. Dodavatel je povinen v rozpočtu u každé položky určit, zda spadá do některé z níže uvedených kategorií oblasti „044 Energeticky účinná renovace nebo opatření na zvýšení energetické účinnosti“ a pokud ano, </w:t>
      </w:r>
      <w:r w:rsidRPr="002961D4">
        <w:rPr>
          <w:b/>
        </w:rPr>
        <w:t>je dodavatel povinen určit jaké množství položky (v %) spadá do oblasti 044</w:t>
      </w:r>
      <w:r>
        <w:t>.</w:t>
      </w:r>
    </w:p>
    <w:p w:rsidR="00530530" w:rsidRPr="003533F7" w:rsidRDefault="00F3512D" w:rsidP="00F3512D">
      <w:r>
        <w:t>Do oblasti 044 Energeticky účinná renovace nebo opatření na zvýšení energetické účinnosti spadají následující kategorie: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zateplení obvodových konstrukcí (stěn a střešních plášťů) a výdaje přímo související se zateplením obvodových konstrukcí (náklady na lešení a stavební výtahy, náklady na vyrovnání a očištění podkladové plochy pod zateplovacím systémem, klempířské prvky a mřížky ventilačních otvorů, staveništní i mimostaveništní přesun hmot);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výměna otvorových výplní a výdaje přímo související s touto výměnou (náklady na parapety, vybourání původních výplní otvorů, změna velikosti otvorů, zednické zapravení oken a dveří);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výměna střešní krytiny;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instalace prvků stínění;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sanace statických poruch;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sanace zdiva;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sanace hydroizolace;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zemní práce související se zateplením obvodových konstrukcí;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odstranění nevyhovující tepelné izolace (v případech, kdy je nahrazována novou tepelnou izolací s lepšími tepelně-technickými vlastnostmi);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opatření na sanaci azbestových konstrukcí;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instalace systému nuceného větrání se zpětným získáváním tepla;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výměna stávajícího hlavního zdroje tepla za kotel na biomasu, tepelné čerpadlo nebo</w:t>
      </w:r>
      <w:r w:rsidRPr="003533F7">
        <w:br/>
        <w:t>jednotku pro kombinovanou výrobu elektřiny a tepla využívající obnovitelné zdroje</w:t>
      </w:r>
      <w:r w:rsidRPr="003533F7">
        <w:br/>
        <w:t>energie;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instalace nového hlavního zdroje tepla (kotel na biomasu nebo tepelné čerpadlo,</w:t>
      </w:r>
      <w:r w:rsidRPr="003533F7">
        <w:br/>
        <w:t>jednotka pro kombinovanou výrobu elektřiny a tepla);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lastRenderedPageBreak/>
        <w:t>instalace solárních termických kolektorů;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 xml:space="preserve">instalace </w:t>
      </w:r>
      <w:proofErr w:type="spellStart"/>
      <w:r w:rsidRPr="003533F7">
        <w:t>fotovoltaických</w:t>
      </w:r>
      <w:proofErr w:type="spellEnd"/>
      <w:r w:rsidRPr="003533F7">
        <w:t xml:space="preserve"> soustav a bateriových uložišť elektřiny, které budou využity</w:t>
      </w:r>
      <w:r w:rsidRPr="003533F7">
        <w:br/>
        <w:t>pro dané zařízení;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instalace akumulační nádrže;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výdaje spojené s realizací opatření na ochranu hnízdišť rorýse a úkrytů netopýrů;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 xml:space="preserve">pořízení a instalace světelných zdrojů energetické třídy A+ a </w:t>
      </w:r>
      <w:proofErr w:type="spellStart"/>
      <w:r w:rsidRPr="003533F7">
        <w:t>A</w:t>
      </w:r>
      <w:proofErr w:type="spellEnd"/>
      <w:r w:rsidRPr="003533F7">
        <w:t>++ do společných</w:t>
      </w:r>
      <w:r w:rsidRPr="003533F7">
        <w:br/>
        <w:t>prostor a čidla pohybu;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pořízení nebo výměna předávací stanice a náklady spojené s připojením k soustavě</w:t>
      </w:r>
      <w:r w:rsidRPr="003533F7">
        <w:br/>
        <w:t>zásobování tepelnou energií;</w:t>
      </w:r>
    </w:p>
    <w:p w:rsidR="00530530" w:rsidRPr="003533F7" w:rsidRDefault="00530530" w:rsidP="00530530">
      <w:pPr>
        <w:numPr>
          <w:ilvl w:val="0"/>
          <w:numId w:val="4"/>
        </w:numPr>
        <w:tabs>
          <w:tab w:val="clear" w:pos="720"/>
          <w:tab w:val="num" w:pos="1134"/>
        </w:tabs>
        <w:spacing w:after="120" w:line="240" w:lineRule="auto"/>
        <w:ind w:left="1418" w:hanging="357"/>
      </w:pPr>
      <w:r w:rsidRPr="003533F7">
        <w:t> výměna otopné soustavy (radiátory, rozvody a termostatické hlavice).</w:t>
      </w:r>
    </w:p>
    <w:p w:rsidR="002961D4" w:rsidRDefault="002961D4"/>
    <w:sectPr w:rsidR="00296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D919F3"/>
    <w:multiLevelType w:val="multilevel"/>
    <w:tmpl w:val="78E09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352995"/>
    <w:multiLevelType w:val="multilevel"/>
    <w:tmpl w:val="CBB6929A"/>
    <w:lvl w:ilvl="0">
      <w:start w:val="1"/>
      <w:numFmt w:val="upperRoman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576" w:hanging="576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Nadpis3"/>
      <w:lvlText w:val="%2.%3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b w:val="0"/>
        <w:bCs w:val="0"/>
        <w:i w:val="0"/>
        <w:iCs w:val="0"/>
        <w:sz w:val="22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FA533F1"/>
    <w:multiLevelType w:val="multilevel"/>
    <w:tmpl w:val="E098B384"/>
    <w:lvl w:ilvl="0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910475"/>
    <w:multiLevelType w:val="hybridMultilevel"/>
    <w:tmpl w:val="318C3EDC"/>
    <w:lvl w:ilvl="0" w:tplc="8A80BC0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8098B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3819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0C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EC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0E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42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2A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DEF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530"/>
    <w:rsid w:val="002961D4"/>
    <w:rsid w:val="00473BA1"/>
    <w:rsid w:val="00530530"/>
    <w:rsid w:val="00B11032"/>
    <w:rsid w:val="00F3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97DD2-7146-4CB8-8BA6-CB5B5EE2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0530"/>
    <w:pPr>
      <w:spacing w:after="240" w:line="276" w:lineRule="auto"/>
      <w:jc w:val="both"/>
    </w:pPr>
    <w:rPr>
      <w:rFonts w:ascii="Cambria" w:eastAsia="Calibri" w:hAnsi="Cambria" w:cs="Cambria"/>
      <w:szCs w:val="24"/>
    </w:rPr>
  </w:style>
  <w:style w:type="paragraph" w:styleId="Nadpis1">
    <w:name w:val="heading 1"/>
    <w:aliases w:val="H1,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"/>
    <w:qFormat/>
    <w:rsid w:val="00530530"/>
    <w:pPr>
      <w:keepNext/>
      <w:numPr>
        <w:numId w:val="1"/>
      </w:numPr>
      <w:pBdr>
        <w:bottom w:val="single" w:sz="18" w:space="1" w:color="5B9BD5" w:themeColor="accent1"/>
      </w:pBdr>
      <w:spacing w:before="480" w:after="60"/>
      <w:outlineLvl w:val="0"/>
    </w:pPr>
    <w:rPr>
      <w:rFonts w:eastAsia="Times New Roman"/>
      <w:b/>
      <w:bCs/>
      <w:kern w:val="32"/>
      <w:szCs w:val="32"/>
      <w:lang w:val="sk-SK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qFormat/>
    <w:rsid w:val="00530530"/>
    <w:pPr>
      <w:keepNext/>
      <w:numPr>
        <w:ilvl w:val="1"/>
        <w:numId w:val="1"/>
      </w:numPr>
      <w:spacing w:before="320" w:after="60"/>
      <w:outlineLvl w:val="1"/>
    </w:pPr>
    <w:rPr>
      <w:rFonts w:eastAsia="Times New Roman"/>
      <w:b/>
      <w:bCs/>
      <w:szCs w:val="28"/>
    </w:rPr>
  </w:style>
  <w:style w:type="paragraph" w:styleId="Nadpis3">
    <w:name w:val="heading 3"/>
    <w:aliases w:val="H3,Záhlaví 3,V_Head3,V_Head31,V_Head32,Podkapitola2,ASAPHeading 3,PA Minor Section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"/>
    <w:qFormat/>
    <w:rsid w:val="00530530"/>
    <w:pPr>
      <w:numPr>
        <w:ilvl w:val="2"/>
        <w:numId w:val="1"/>
      </w:numPr>
      <w:spacing w:before="240" w:after="60"/>
      <w:outlineLvl w:val="2"/>
    </w:pPr>
  </w:style>
  <w:style w:type="paragraph" w:styleId="Nadpis4">
    <w:name w:val="heading 4"/>
    <w:aliases w:val="H4,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uiPriority w:val="9"/>
    <w:qFormat/>
    <w:rsid w:val="00530530"/>
    <w:pPr>
      <w:numPr>
        <w:ilvl w:val="3"/>
        <w:numId w:val="1"/>
      </w:numPr>
      <w:spacing w:before="240" w:after="60"/>
      <w:outlineLvl w:val="3"/>
    </w:pPr>
    <w:rPr>
      <w:rFonts w:eastAsia="Times New Roman"/>
    </w:rPr>
  </w:style>
  <w:style w:type="paragraph" w:styleId="Nadpis5">
    <w:name w:val="heading 5"/>
    <w:aliases w:val="H5,Odstavec 2,Odstavec 21,Odstavec 22,Odstavec 23,Odstavec 24,Odstavec 211,Odstavec 221,Odstavec 231,Odstavec 212,Odstavec 213,Odstavec 25,Odstavec 214,Odstavec 26,Odstavec 27,Odstavec 215,Odstavec 2111,Odstavec 2121,Odstavec 241,Odstavec 2131"/>
    <w:basedOn w:val="Nadpis4"/>
    <w:next w:val="Normln"/>
    <w:link w:val="Nadpis5Char"/>
    <w:qFormat/>
    <w:rsid w:val="00530530"/>
    <w:pPr>
      <w:numPr>
        <w:ilvl w:val="4"/>
      </w:numPr>
      <w:outlineLvl w:val="4"/>
    </w:pPr>
    <w:rPr>
      <w:rFonts w:eastAsia="Calibri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iPriority w:val="9"/>
    <w:qFormat/>
    <w:rsid w:val="00530530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Calibri"/>
      <w:b/>
      <w:bCs/>
      <w:szCs w:val="22"/>
      <w:lang w:val="sk-SK"/>
    </w:rPr>
  </w:style>
  <w:style w:type="paragraph" w:styleId="Nadpis7">
    <w:name w:val="heading 7"/>
    <w:basedOn w:val="Normln"/>
    <w:next w:val="Normln"/>
    <w:link w:val="Nadpis7Char"/>
    <w:uiPriority w:val="9"/>
    <w:qFormat/>
    <w:rsid w:val="00530530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Calibri"/>
      <w:lang w:val="sk-SK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"/>
    <w:qFormat/>
    <w:rsid w:val="00530530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Calibri"/>
      <w:i/>
      <w:iCs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530530"/>
    <w:pPr>
      <w:numPr>
        <w:ilvl w:val="8"/>
        <w:numId w:val="1"/>
      </w:numPr>
      <w:spacing w:before="240" w:after="60"/>
      <w:outlineLvl w:val="8"/>
    </w:pPr>
    <w:rPr>
      <w:rFonts w:eastAsia="Times New Roman"/>
      <w:szCs w:val="2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530530"/>
    <w:rPr>
      <w:rFonts w:ascii="Cambria" w:eastAsia="Times New Roman" w:hAnsi="Cambria" w:cs="Cambria"/>
      <w:b/>
      <w:bCs/>
      <w:kern w:val="32"/>
      <w:szCs w:val="32"/>
      <w:lang w:val="sk-SK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530530"/>
    <w:rPr>
      <w:rFonts w:ascii="Cambria" w:eastAsia="Times New Roman" w:hAnsi="Cambria" w:cs="Cambria"/>
      <w:b/>
      <w:bCs/>
      <w:szCs w:val="28"/>
    </w:rPr>
  </w:style>
  <w:style w:type="character" w:customStyle="1" w:styleId="Nadpis3Char">
    <w:name w:val="Nadpis 3 Char"/>
    <w:aliases w:val="H3 Char,Záhlaví 3 Char,V_Head3 Char,V_Head31 Char,V_Head32 Char,Podkapitola2 Char,ASAPHeading 3 Char,PA Minor Section Char,Nadpis 3T Char,Sub Paragraph Char,h3 Char,H3-Heading 3 Char,l3.3 Char,l3 Char,Titre 3 Char,3 Char,Bold Head Char"/>
    <w:basedOn w:val="Standardnpsmoodstavce"/>
    <w:link w:val="Nadpis3"/>
    <w:uiPriority w:val="9"/>
    <w:rsid w:val="00530530"/>
    <w:rPr>
      <w:rFonts w:ascii="Cambria" w:eastAsia="Calibri" w:hAnsi="Cambria" w:cs="Cambria"/>
      <w:szCs w:val="24"/>
    </w:rPr>
  </w:style>
  <w:style w:type="character" w:customStyle="1" w:styleId="Nadpis4Char">
    <w:name w:val="Nadpis 4 Char"/>
    <w:aliases w:val="H4 Char,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Nadpis4"/>
    <w:uiPriority w:val="9"/>
    <w:rsid w:val="00530530"/>
    <w:rPr>
      <w:rFonts w:ascii="Cambria" w:eastAsia="Times New Roman" w:hAnsi="Cambria" w:cs="Cambria"/>
      <w:szCs w:val="24"/>
    </w:rPr>
  </w:style>
  <w:style w:type="character" w:customStyle="1" w:styleId="Nadpis5Char">
    <w:name w:val="Nadpis 5 Char"/>
    <w:aliases w:val="H5 Char,Odstavec 2 Char,Odstavec 21 Char,Odstavec 22 Char,Odstavec 23 Char,Odstavec 24 Char,Odstavec 211 Char,Odstavec 221 Char,Odstavec 231 Char,Odstavec 212 Char,Odstavec 213 Char,Odstavec 25 Char,Odstavec 214 Char,Odstavec 26 Char"/>
    <w:basedOn w:val="Standardnpsmoodstavce"/>
    <w:link w:val="Nadpis5"/>
    <w:rsid w:val="00530530"/>
    <w:rPr>
      <w:rFonts w:ascii="Cambria" w:eastAsia="Calibri" w:hAnsi="Cambria" w:cs="Cambria"/>
      <w:szCs w:val="24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"/>
    <w:rsid w:val="00530530"/>
    <w:rPr>
      <w:rFonts w:ascii="Calibri" w:eastAsia="Times New Roman" w:hAnsi="Calibri" w:cs="Calibri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530530"/>
    <w:rPr>
      <w:rFonts w:ascii="Calibri" w:eastAsia="Times New Roman" w:hAnsi="Calibri" w:cs="Calibri"/>
      <w:szCs w:val="24"/>
      <w:lang w:val="sk-SK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"/>
    <w:rsid w:val="00530530"/>
    <w:rPr>
      <w:rFonts w:ascii="Calibri" w:eastAsia="Times New Roman" w:hAnsi="Calibri" w:cs="Calibri"/>
      <w:i/>
      <w:iCs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530530"/>
    <w:rPr>
      <w:rFonts w:ascii="Cambria" w:eastAsia="Times New Roman" w:hAnsi="Cambria" w:cs="Cambria"/>
      <w:lang w:val="sk-SK"/>
    </w:rPr>
  </w:style>
  <w:style w:type="paragraph" w:styleId="Odstavecseseznamem">
    <w:name w:val="List Paragraph"/>
    <w:aliases w:val="Nad,List Paragraph,Odstavec_muj,Odstavec cíl se seznamem,Odstavec se seznamem5,Odstavec 1.1.,_Odstavec se seznamem,Odstavec_muj1,Odstavec_muj2,Odstavec_muj3,Nad1,Odstavec_muj4,Nad2,List Paragraph2,Odstavec_muj5,Odstavec_muj6,Datum_"/>
    <w:basedOn w:val="Normln"/>
    <w:link w:val="OdstavecseseznamemChar"/>
    <w:uiPriority w:val="34"/>
    <w:qFormat/>
    <w:rsid w:val="00530530"/>
    <w:pPr>
      <w:ind w:left="708"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,Odstavec 1.1. Char,_Odstavec se seznamem Char,Odstavec_muj1 Char,Odstavec_muj2 Char,Odstavec_muj3 Char,Nad1 Char,Nad2 Char"/>
    <w:link w:val="Odstavecseseznamem"/>
    <w:uiPriority w:val="34"/>
    <w:rsid w:val="00530530"/>
    <w:rPr>
      <w:rFonts w:ascii="Cambria" w:eastAsia="Calibri" w:hAnsi="Cambria" w:cs="Cambr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Lacková</dc:creator>
  <cp:keywords/>
  <dc:description/>
  <cp:lastModifiedBy>Michaela Lacková</cp:lastModifiedBy>
  <cp:revision>2</cp:revision>
  <dcterms:created xsi:type="dcterms:W3CDTF">2023-02-09T11:24:00Z</dcterms:created>
  <dcterms:modified xsi:type="dcterms:W3CDTF">2023-02-09T12:22:00Z</dcterms:modified>
</cp:coreProperties>
</file>